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95CF5" w14:textId="77777777" w:rsidR="003F3097" w:rsidRPr="00F13D4A" w:rsidRDefault="003F3097" w:rsidP="00F13D4A">
      <w:pPr>
        <w:shd w:val="clear" w:color="auto" w:fill="FFFFFF"/>
        <w:jc w:val="center"/>
        <w:rPr>
          <w:b/>
          <w:color w:val="000000"/>
        </w:rPr>
      </w:pPr>
      <w:r w:rsidRPr="00F13D4A">
        <w:rPr>
          <w:b/>
          <w:color w:val="000000"/>
        </w:rPr>
        <w:t>GR 27</w:t>
      </w:r>
    </w:p>
    <w:p w14:paraId="1F4FE05F" w14:textId="334C6E7D" w:rsidR="003F3097" w:rsidRPr="00F13D4A" w:rsidRDefault="003F3097" w:rsidP="00F13D4A">
      <w:pPr>
        <w:shd w:val="clear" w:color="auto" w:fill="FFFFFF"/>
        <w:jc w:val="center"/>
        <w:rPr>
          <w:b/>
          <w:color w:val="000000"/>
        </w:rPr>
      </w:pPr>
      <w:r w:rsidRPr="00F13D4A">
        <w:rPr>
          <w:b/>
          <w:color w:val="000000"/>
        </w:rPr>
        <w:t>COURTHOUSE FACILITATORS</w:t>
      </w:r>
    </w:p>
    <w:p w14:paraId="565F6D49" w14:textId="77777777" w:rsidR="003F3097" w:rsidRPr="00F13D4A" w:rsidRDefault="003F3097" w:rsidP="00F13D4A">
      <w:pPr>
        <w:shd w:val="clear" w:color="auto" w:fill="FFFFFF"/>
        <w:rPr>
          <w:color w:val="000000"/>
        </w:rPr>
      </w:pPr>
    </w:p>
    <w:p w14:paraId="25F05C04" w14:textId="77777777" w:rsidR="003F3097" w:rsidRPr="00F13D4A" w:rsidRDefault="003F3097" w:rsidP="00F13D4A">
      <w:pPr>
        <w:shd w:val="clear" w:color="auto" w:fill="FFFFFF"/>
        <w:rPr>
          <w:color w:val="000000"/>
        </w:rPr>
      </w:pPr>
    </w:p>
    <w:p w14:paraId="531C5886" w14:textId="07BC2919" w:rsidR="003F3097" w:rsidRPr="00F13D4A" w:rsidRDefault="003F3097" w:rsidP="00F13D4A">
      <w:pPr>
        <w:shd w:val="clear" w:color="auto" w:fill="FFFFFF"/>
        <w:rPr>
          <w:color w:val="000000"/>
        </w:rPr>
      </w:pPr>
      <w:r w:rsidRPr="00F13D4A">
        <w:rPr>
          <w:color w:val="000000"/>
        </w:rPr>
        <w:t>(</w:t>
      </w:r>
      <w:r w:rsidRPr="00F13D4A">
        <w:rPr>
          <w:b/>
          <w:color w:val="000000"/>
        </w:rPr>
        <w:t>a)  Generally</w:t>
      </w:r>
      <w:r w:rsidRPr="00F13D4A">
        <w:rPr>
          <w:color w:val="000000"/>
        </w:rPr>
        <w:t>.  RCW 26.12.240 and RCW 11.88.170 provide a county may create a courthouse facilitator program to provide basic services to pro se litigants in family law and guardianship cases.  This Rule applies only to courthouse facilitator programs created pursuant to RCW 26.12.240 or RCW 11.88.170</w:t>
      </w:r>
      <w:r w:rsidR="005437AC" w:rsidRPr="00F13D4A">
        <w:rPr>
          <w:u w:val="single"/>
        </w:rPr>
        <w:t>/RCW 11.130.165</w:t>
      </w:r>
      <w:r w:rsidRPr="00F13D4A">
        <w:rPr>
          <w:color w:val="000000"/>
        </w:rPr>
        <w:t>.</w:t>
      </w:r>
    </w:p>
    <w:p w14:paraId="017CFEA6" w14:textId="77777777" w:rsidR="003F3097" w:rsidRPr="00F13D4A" w:rsidRDefault="003F3097" w:rsidP="00F13D4A">
      <w:pPr>
        <w:shd w:val="clear" w:color="auto" w:fill="FFFFFF"/>
        <w:rPr>
          <w:color w:val="000000"/>
        </w:rPr>
      </w:pPr>
    </w:p>
    <w:p w14:paraId="7B34253E" w14:textId="3A7764BC" w:rsidR="003F3097" w:rsidRPr="00F13D4A" w:rsidRDefault="003F3097" w:rsidP="00F13D4A">
      <w:pPr>
        <w:shd w:val="clear" w:color="auto" w:fill="FFFFFF"/>
        <w:rPr>
          <w:color w:val="000000"/>
        </w:rPr>
      </w:pPr>
      <w:r w:rsidRPr="00F13D4A">
        <w:rPr>
          <w:b/>
          <w:color w:val="000000"/>
        </w:rPr>
        <w:t xml:space="preserve">(b)  </w:t>
      </w:r>
      <w:r w:rsidR="00F13D4A">
        <w:rPr>
          <w:color w:val="000000"/>
        </w:rPr>
        <w:t>[Unchanged.]</w:t>
      </w:r>
    </w:p>
    <w:p w14:paraId="1A85C731" w14:textId="77777777" w:rsidR="003F3097" w:rsidRPr="00F13D4A" w:rsidRDefault="003F3097" w:rsidP="00F13D4A">
      <w:pPr>
        <w:shd w:val="clear" w:color="auto" w:fill="FFFFFF"/>
        <w:rPr>
          <w:color w:val="000000"/>
        </w:rPr>
      </w:pPr>
    </w:p>
    <w:p w14:paraId="19376C75" w14:textId="116044C9" w:rsidR="003F3097" w:rsidRPr="00F13D4A" w:rsidRDefault="003F3097" w:rsidP="00F13D4A">
      <w:pPr>
        <w:shd w:val="clear" w:color="auto" w:fill="FFFFFF"/>
        <w:rPr>
          <w:color w:val="000000"/>
        </w:rPr>
      </w:pPr>
      <w:r w:rsidRPr="00F13D4A">
        <w:rPr>
          <w:b/>
          <w:color w:val="000000"/>
        </w:rPr>
        <w:t>(c)  Definitions</w:t>
      </w:r>
      <w:r w:rsidRPr="00F13D4A">
        <w:rPr>
          <w:color w:val="000000"/>
        </w:rPr>
        <w:t>.  For the purpose of this rule the following definitions apply:</w:t>
      </w:r>
    </w:p>
    <w:p w14:paraId="7E488D2E" w14:textId="77777777" w:rsidR="003F3097" w:rsidRPr="00F13D4A" w:rsidRDefault="003F3097" w:rsidP="00F13D4A">
      <w:pPr>
        <w:shd w:val="clear" w:color="auto" w:fill="FFFFFF"/>
        <w:rPr>
          <w:color w:val="000000"/>
        </w:rPr>
      </w:pPr>
    </w:p>
    <w:p w14:paraId="389434C2" w14:textId="5112361C" w:rsidR="003F3097" w:rsidRPr="00F13D4A" w:rsidRDefault="003F3097" w:rsidP="00F13D4A">
      <w:pPr>
        <w:shd w:val="clear" w:color="auto" w:fill="FFFFFF"/>
        <w:rPr>
          <w:color w:val="000000"/>
        </w:rPr>
      </w:pPr>
      <w:r w:rsidRPr="00F13D4A">
        <w:rPr>
          <w:color w:val="000000"/>
        </w:rPr>
        <w:t xml:space="preserve">(1)  </w:t>
      </w:r>
      <w:r w:rsidR="00F13D4A">
        <w:rPr>
          <w:color w:val="000000"/>
        </w:rPr>
        <w:t>[Unchanged.]</w:t>
      </w:r>
    </w:p>
    <w:p w14:paraId="28B8BEEF" w14:textId="77777777" w:rsidR="003F3097" w:rsidRPr="00F13D4A" w:rsidRDefault="003F3097" w:rsidP="00F13D4A">
      <w:pPr>
        <w:shd w:val="clear" w:color="auto" w:fill="FFFFFF"/>
        <w:rPr>
          <w:color w:val="000000"/>
        </w:rPr>
      </w:pPr>
    </w:p>
    <w:p w14:paraId="0622E625" w14:textId="42B29F12" w:rsidR="003F3097" w:rsidRPr="00F13D4A" w:rsidRDefault="003F3097" w:rsidP="00F13D4A">
      <w:pPr>
        <w:shd w:val="clear" w:color="auto" w:fill="FFFFFF"/>
        <w:rPr>
          <w:color w:val="000000"/>
        </w:rPr>
      </w:pPr>
      <w:r w:rsidRPr="00F13D4A">
        <w:rPr>
          <w:color w:val="000000"/>
        </w:rPr>
        <w:t xml:space="preserve">(2)  Family Law Cases include, but are not limited to, dissolution of marriage, modification of dissolution matters such as child support, parenting plans, </w:t>
      </w:r>
      <w:proofErr w:type="spellStart"/>
      <w:r w:rsidRPr="00F13D4A">
        <w:rPr>
          <w:color w:val="000000"/>
        </w:rPr>
        <w:t>nonparental</w:t>
      </w:r>
      <w:proofErr w:type="spellEnd"/>
      <w:r w:rsidRPr="00F13D4A">
        <w:rPr>
          <w:color w:val="000000"/>
        </w:rPr>
        <w:t xml:space="preserve"> custody</w:t>
      </w:r>
      <w:r w:rsidR="001B0B50" w:rsidRPr="00F13D4A">
        <w:rPr>
          <w:color w:val="000000"/>
          <w:u w:val="single"/>
        </w:rPr>
        <w:t xml:space="preserve">, </w:t>
      </w:r>
      <w:r w:rsidR="005437AC" w:rsidRPr="00F13D4A">
        <w:rPr>
          <w:u w:val="single"/>
        </w:rPr>
        <w:t>minor guardianship</w:t>
      </w:r>
      <w:r w:rsidRPr="00F13D4A">
        <w:t xml:space="preserve"> </w:t>
      </w:r>
      <w:r w:rsidRPr="00F13D4A">
        <w:rPr>
          <w:color w:val="000000"/>
        </w:rPr>
        <w:t>or visitation, and parentage by unmarried persons to establish paternity, child support, child custody</w:t>
      </w:r>
      <w:r w:rsidRPr="00F13D4A">
        <w:rPr>
          <w:color w:val="000000"/>
          <w:u w:val="single"/>
        </w:rPr>
        <w:t>,</w:t>
      </w:r>
      <w:r w:rsidRPr="00F13D4A">
        <w:rPr>
          <w:color w:val="000000"/>
        </w:rPr>
        <w:t xml:space="preserve"> and visitation.</w:t>
      </w:r>
    </w:p>
    <w:p w14:paraId="03E3CA39" w14:textId="77777777" w:rsidR="003F3097" w:rsidRPr="00F13D4A" w:rsidRDefault="003F3097" w:rsidP="00F13D4A">
      <w:pPr>
        <w:shd w:val="clear" w:color="auto" w:fill="FFFFFF"/>
        <w:rPr>
          <w:color w:val="000000"/>
        </w:rPr>
      </w:pPr>
    </w:p>
    <w:p w14:paraId="54D1A9B3" w14:textId="1B70280F" w:rsidR="003F3097" w:rsidRPr="00F13D4A" w:rsidRDefault="003F3097" w:rsidP="00F13D4A">
      <w:pPr>
        <w:shd w:val="clear" w:color="auto" w:fill="FFFFFF"/>
        <w:rPr>
          <w:color w:val="000000"/>
        </w:rPr>
      </w:pPr>
      <w:r w:rsidRPr="00F13D4A">
        <w:rPr>
          <w:color w:val="000000"/>
        </w:rPr>
        <w:t xml:space="preserve">(3)  Guardianship cases include cases filed under chapters 11.88, 11.90, 11.92, </w:t>
      </w:r>
      <w:r w:rsidR="005437AC" w:rsidRPr="00F13D4A">
        <w:rPr>
          <w:color w:val="000000"/>
          <w:u w:val="single"/>
        </w:rPr>
        <w:t>11.130</w:t>
      </w:r>
      <w:r w:rsidR="00F13D4A">
        <w:rPr>
          <w:color w:val="000000"/>
          <w:u w:val="single"/>
        </w:rPr>
        <w:t>,</w:t>
      </w:r>
      <w:r w:rsidR="005437AC" w:rsidRPr="00F13D4A">
        <w:rPr>
          <w:color w:val="000000"/>
        </w:rPr>
        <w:t xml:space="preserve"> </w:t>
      </w:r>
      <w:r w:rsidRPr="00F13D4A">
        <w:rPr>
          <w:color w:val="000000"/>
        </w:rPr>
        <w:t>and 73.36</w:t>
      </w:r>
      <w:r w:rsidR="00F13D4A">
        <w:rPr>
          <w:color w:val="000000"/>
        </w:rPr>
        <w:t xml:space="preserve"> RCW</w:t>
      </w:r>
      <w:r w:rsidRPr="00F13D4A">
        <w:rPr>
          <w:color w:val="000000"/>
        </w:rPr>
        <w:t>.</w:t>
      </w:r>
    </w:p>
    <w:p w14:paraId="0A680C53" w14:textId="77777777" w:rsidR="003F3097" w:rsidRPr="00F13D4A" w:rsidRDefault="003F3097" w:rsidP="00F13D4A">
      <w:pPr>
        <w:shd w:val="clear" w:color="auto" w:fill="FFFFFF"/>
        <w:rPr>
          <w:color w:val="000000"/>
        </w:rPr>
      </w:pPr>
    </w:p>
    <w:p w14:paraId="5F5E0D21" w14:textId="229E6DE2" w:rsidR="003F3097" w:rsidRDefault="003F3097" w:rsidP="00F13D4A">
      <w:pPr>
        <w:shd w:val="clear" w:color="auto" w:fill="FFFFFF"/>
        <w:rPr>
          <w:color w:val="000000"/>
        </w:rPr>
      </w:pPr>
      <w:r w:rsidRPr="00F13D4A">
        <w:rPr>
          <w:color w:val="000000"/>
        </w:rPr>
        <w:t xml:space="preserve">(4)  </w:t>
      </w:r>
      <w:r w:rsidR="00F13D4A">
        <w:rPr>
          <w:color w:val="000000"/>
        </w:rPr>
        <w:t>[Unchanged.]</w:t>
      </w:r>
    </w:p>
    <w:p w14:paraId="4BE1B82E" w14:textId="77777777" w:rsidR="003F3097" w:rsidRPr="00F13D4A" w:rsidRDefault="003F3097" w:rsidP="00F13D4A">
      <w:pPr>
        <w:shd w:val="clear" w:color="auto" w:fill="FFFFFF"/>
        <w:rPr>
          <w:color w:val="000000"/>
        </w:rPr>
      </w:pPr>
    </w:p>
    <w:p w14:paraId="53F70DE2" w14:textId="2ABD0FF1" w:rsidR="003F3097" w:rsidRPr="00F13D4A" w:rsidRDefault="00CB2D04" w:rsidP="00F13D4A">
      <w:pPr>
        <w:shd w:val="clear" w:color="auto" w:fill="FFFFFF"/>
        <w:rPr>
          <w:color w:val="000000"/>
        </w:rPr>
      </w:pPr>
      <w:r w:rsidRPr="00CB2D04">
        <w:rPr>
          <w:b/>
          <w:color w:val="000000"/>
        </w:rPr>
        <w:t>(d)</w:t>
      </w:r>
      <w:proofErr w:type="gramStart"/>
      <w:r w:rsidRPr="00CB2D04">
        <w:rPr>
          <w:b/>
          <w:color w:val="000000"/>
        </w:rPr>
        <w:t>—(</w:t>
      </w:r>
      <w:proofErr w:type="gramEnd"/>
      <w:r w:rsidRPr="00CB2D04">
        <w:rPr>
          <w:b/>
          <w:color w:val="000000"/>
        </w:rPr>
        <w:t>e)</w:t>
      </w:r>
      <w:r>
        <w:rPr>
          <w:color w:val="000000"/>
        </w:rPr>
        <w:t xml:space="preserve"> [Unchanged.]</w:t>
      </w:r>
    </w:p>
    <w:p w14:paraId="47DC7D27" w14:textId="77777777" w:rsidR="003F3097" w:rsidRPr="00F13D4A" w:rsidRDefault="003F3097" w:rsidP="00F13D4A">
      <w:pPr>
        <w:shd w:val="clear" w:color="auto" w:fill="FFFFFF"/>
        <w:rPr>
          <w:color w:val="000000"/>
        </w:rPr>
      </w:pPr>
    </w:p>
    <w:p w14:paraId="638EF8B2" w14:textId="49E3CFCB" w:rsidR="003F3097" w:rsidRPr="00F13D4A" w:rsidRDefault="003F3097" w:rsidP="00F13D4A">
      <w:pPr>
        <w:shd w:val="clear" w:color="auto" w:fill="FFFFFF"/>
        <w:rPr>
          <w:color w:val="000000"/>
        </w:rPr>
      </w:pPr>
      <w:r w:rsidRPr="00CB2D04">
        <w:rPr>
          <w:b/>
          <w:color w:val="000000"/>
        </w:rPr>
        <w:t>(f)</w:t>
      </w:r>
      <w:r w:rsidR="00CB2D04">
        <w:rPr>
          <w:color w:val="000000"/>
        </w:rPr>
        <w:t xml:space="preserve">  Courthouse f</w:t>
      </w:r>
      <w:bookmarkStart w:id="0" w:name="_GoBack"/>
      <w:bookmarkEnd w:id="0"/>
      <w:r w:rsidRPr="00F13D4A">
        <w:rPr>
          <w:color w:val="000000"/>
        </w:rPr>
        <w:t>acilitators providing basic services under this rule are not engaged in the unauthorized practice of law.  Upon a courthouse facilitator's voluntary or involuntary termination from a courthouse facilitator program, that person is no longer a courthouse facilitator providing services pursuant to RCW 26.12.240 or</w:t>
      </w:r>
    </w:p>
    <w:p w14:paraId="7EE7BE6B" w14:textId="11871768" w:rsidR="003F3097" w:rsidRPr="00F13D4A" w:rsidRDefault="003F3097" w:rsidP="00F13D4A">
      <w:pPr>
        <w:shd w:val="clear" w:color="auto" w:fill="FFFFFF"/>
        <w:rPr>
          <w:color w:val="000000"/>
        </w:rPr>
      </w:pPr>
      <w:r w:rsidRPr="00F13D4A">
        <w:rPr>
          <w:color w:val="000000"/>
        </w:rPr>
        <w:t>RCW 11.88.170</w:t>
      </w:r>
      <w:r w:rsidR="005437AC" w:rsidRPr="00F13D4A">
        <w:rPr>
          <w:color w:val="000000"/>
          <w:u w:val="single"/>
        </w:rPr>
        <w:t>/11.130.165</w:t>
      </w:r>
      <w:r w:rsidR="005437AC" w:rsidRPr="00F13D4A">
        <w:rPr>
          <w:color w:val="000000"/>
        </w:rPr>
        <w:t xml:space="preserve"> </w:t>
      </w:r>
      <w:r w:rsidRPr="00F13D4A">
        <w:rPr>
          <w:color w:val="000000"/>
        </w:rPr>
        <w:t>or this Rule.</w:t>
      </w:r>
    </w:p>
    <w:p w14:paraId="1B811572" w14:textId="77777777" w:rsidR="0048610C" w:rsidRPr="00F13D4A" w:rsidRDefault="0048610C" w:rsidP="00F13D4A"/>
    <w:sectPr w:rsidR="0048610C" w:rsidRPr="00F13D4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097"/>
    <w:rsid w:val="00155934"/>
    <w:rsid w:val="001B0B50"/>
    <w:rsid w:val="003F3097"/>
    <w:rsid w:val="0048610C"/>
    <w:rsid w:val="005437AC"/>
    <w:rsid w:val="006A7693"/>
    <w:rsid w:val="006D0001"/>
    <w:rsid w:val="00CB2D04"/>
    <w:rsid w:val="00D97AAA"/>
    <w:rsid w:val="00F0649A"/>
    <w:rsid w:val="00F13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51DB06"/>
  <w15:chartTrackingRefBased/>
  <w15:docId w15:val="{AC29C0CF-7A67-49AD-8628-E8E8F934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F3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F309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70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F12DD-E26F-418E-80B8-4102AD257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181</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Indu Thomas</dc:creator>
  <cp:keywords/>
  <dc:description/>
  <cp:lastModifiedBy>Hummel, Leslie</cp:lastModifiedBy>
  <cp:revision>3</cp:revision>
  <dcterms:created xsi:type="dcterms:W3CDTF">2021-01-04T18:26:00Z</dcterms:created>
  <dcterms:modified xsi:type="dcterms:W3CDTF">2021-05-04T20:53:00Z</dcterms:modified>
</cp:coreProperties>
</file>